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84" w:type="dxa"/>
        <w:tblLook w:val="01E0" w:firstRow="1" w:lastRow="1" w:firstColumn="1" w:lastColumn="1" w:noHBand="0" w:noVBand="0"/>
      </w:tblPr>
      <w:tblGrid>
        <w:gridCol w:w="4537"/>
        <w:gridCol w:w="5528"/>
      </w:tblGrid>
      <w:tr w:rsidR="00790410" w:rsidRPr="00AC764B" w14:paraId="307B1E31" w14:textId="77777777" w:rsidTr="004454C2">
        <w:trPr>
          <w:trHeight w:val="1490"/>
        </w:trPr>
        <w:tc>
          <w:tcPr>
            <w:tcW w:w="4537" w:type="dxa"/>
          </w:tcPr>
          <w:p w14:paraId="13EA4083" w14:textId="77777777" w:rsidR="00790410" w:rsidRPr="00812C8C" w:rsidRDefault="00790410" w:rsidP="004454C2">
            <w:pPr>
              <w:pStyle w:val="Heading1"/>
              <w:tabs>
                <w:tab w:val="left" w:pos="0"/>
              </w:tabs>
              <w:spacing w:before="0" w:after="0" w:line="340" w:lineRule="exact"/>
              <w:ind w:left="0" w:right="-108"/>
              <w:jc w:val="center"/>
              <w:rPr>
                <w:rFonts w:ascii="Times New Roman" w:hAnsi="Times New Roman"/>
                <w:b/>
                <w:bCs/>
                <w:color w:val="auto"/>
                <w:sz w:val="24"/>
                <w:szCs w:val="24"/>
              </w:rPr>
            </w:pPr>
            <w:r w:rsidRPr="00812C8C">
              <w:rPr>
                <w:rFonts w:ascii="Times New Roman" w:hAnsi="Times New Roman"/>
                <w:b/>
                <w:bCs/>
                <w:color w:val="auto"/>
                <w:sz w:val="24"/>
                <w:szCs w:val="24"/>
              </w:rPr>
              <w:t>ỦY BAN THƯỜNG VỤ QUỐC HỘI</w:t>
            </w:r>
          </w:p>
          <w:p w14:paraId="1CB9A733" w14:textId="77777777" w:rsidR="00790410" w:rsidRPr="00812C8C" w:rsidRDefault="00790410" w:rsidP="00B41C79">
            <w:pPr>
              <w:spacing w:line="340" w:lineRule="exact"/>
              <w:jc w:val="center"/>
              <w:rPr>
                <w:rFonts w:ascii="Times New Roman" w:hAnsi="Times New Roman"/>
              </w:rPr>
            </w:pPr>
            <w:r w:rsidRPr="00812C8C">
              <w:rPr>
                <w:rFonts w:ascii="Times New Roman" w:hAnsi="Times New Roman"/>
                <w:noProof/>
              </w:rPr>
              <mc:AlternateContent>
                <mc:Choice Requires="wps">
                  <w:drawing>
                    <wp:anchor distT="0" distB="0" distL="114300" distR="114300" simplePos="0" relativeHeight="251661312" behindDoc="0" locked="0" layoutInCell="1" allowOverlap="1" wp14:anchorId="6FF7427C" wp14:editId="62834654">
                      <wp:simplePos x="0" y="0"/>
                      <wp:positionH relativeFrom="column">
                        <wp:posOffset>795655</wp:posOffset>
                      </wp:positionH>
                      <wp:positionV relativeFrom="paragraph">
                        <wp:posOffset>28575</wp:posOffset>
                      </wp:positionV>
                      <wp:extent cx="1009650" cy="0"/>
                      <wp:effectExtent l="0" t="0" r="19050" b="1905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40BC7"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25pt" to="14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LA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fhNb0xhUQUamdDcXRs3oxW02/O6R01RJ14JHi68VAXhYykjcpYeMMXLDvv2gGMeTodezT&#10;ubFdgIQOoHOU43KXg589onCYpeliNg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"/>
                  </w:pict>
                </mc:Fallback>
              </mc:AlternateContent>
            </w:r>
            <w:r w:rsidRPr="00812C8C">
              <w:rPr>
                <w:rFonts w:ascii="Times New Roman" w:hAnsi="Times New Roman"/>
              </w:rPr>
              <w:t xml:space="preserve"> </w:t>
            </w:r>
          </w:p>
          <w:p w14:paraId="19501F8E" w14:textId="7BEE70F8" w:rsidR="00790410" w:rsidRDefault="00790410" w:rsidP="00B41C79">
            <w:pPr>
              <w:spacing w:line="340" w:lineRule="exact"/>
              <w:jc w:val="center"/>
              <w:rPr>
                <w:rFonts w:ascii="Times New Roman" w:hAnsi="Times New Roman"/>
                <w:sz w:val="26"/>
                <w:szCs w:val="26"/>
              </w:rPr>
            </w:pPr>
            <w:r w:rsidRPr="00812C8C">
              <w:rPr>
                <w:rFonts w:ascii="Times New Roman" w:hAnsi="Times New Roman"/>
                <w:sz w:val="26"/>
                <w:szCs w:val="26"/>
              </w:rPr>
              <w:t xml:space="preserve">Số: </w:t>
            </w:r>
            <w:r w:rsidR="00177E33">
              <w:rPr>
                <w:rFonts w:ascii="Times New Roman" w:hAnsi="Times New Roman"/>
                <w:sz w:val="26"/>
                <w:szCs w:val="26"/>
              </w:rPr>
              <w:t>1744</w:t>
            </w:r>
            <w:r w:rsidRPr="00812C8C">
              <w:rPr>
                <w:rFonts w:ascii="Times New Roman" w:hAnsi="Times New Roman"/>
                <w:sz w:val="26"/>
                <w:szCs w:val="26"/>
              </w:rPr>
              <w:t>/NQ-UBTVQH15</w:t>
            </w:r>
          </w:p>
          <w:p w14:paraId="1E363964" w14:textId="517A99E3" w:rsidR="00BC04DA" w:rsidRPr="00BC04DA" w:rsidRDefault="00BC04DA" w:rsidP="00B41C79">
            <w:pPr>
              <w:spacing w:line="340" w:lineRule="exact"/>
              <w:jc w:val="center"/>
              <w:rPr>
                <w:rFonts w:ascii="Times New Roman" w:hAnsi="Times New Roman"/>
                <w:i/>
                <w:iCs/>
                <w:sz w:val="26"/>
                <w:szCs w:val="26"/>
              </w:rPr>
            </w:pPr>
          </w:p>
          <w:p w14:paraId="31D73DC3" w14:textId="13A79312" w:rsidR="00790410" w:rsidRPr="00040FDA" w:rsidRDefault="00790410" w:rsidP="00B41C79">
            <w:pPr>
              <w:spacing w:before="120"/>
              <w:jc w:val="center"/>
              <w:rPr>
                <w:rFonts w:ascii="Times New Roman" w:hAnsi="Times New Roman"/>
                <w:b/>
                <w:sz w:val="26"/>
                <w:szCs w:val="26"/>
              </w:rPr>
            </w:pPr>
          </w:p>
        </w:tc>
        <w:tc>
          <w:tcPr>
            <w:tcW w:w="5528" w:type="dxa"/>
          </w:tcPr>
          <w:p w14:paraId="29693E01" w14:textId="77777777" w:rsidR="00790410" w:rsidRPr="00812C8C" w:rsidRDefault="00790410" w:rsidP="00742844">
            <w:pPr>
              <w:pStyle w:val="Heading1"/>
              <w:tabs>
                <w:tab w:val="left" w:pos="720"/>
              </w:tabs>
              <w:spacing w:before="0" w:after="0" w:line="340" w:lineRule="exact"/>
              <w:ind w:hanging="567"/>
              <w:jc w:val="center"/>
              <w:rPr>
                <w:rFonts w:ascii="Times New Roman" w:hAnsi="Times New Roman"/>
                <w:b/>
                <w:bCs/>
                <w:color w:val="auto"/>
                <w:sz w:val="24"/>
                <w:szCs w:val="24"/>
              </w:rPr>
            </w:pPr>
            <w:r w:rsidRPr="00812C8C">
              <w:rPr>
                <w:rFonts w:ascii="Times New Roman" w:hAnsi="Times New Roman"/>
                <w:b/>
                <w:bCs/>
                <w:color w:val="auto"/>
                <w:sz w:val="24"/>
                <w:szCs w:val="24"/>
              </w:rPr>
              <w:t>CỘNG HÒA XÃ HỘI CHỦ NGHĨA VIỆT NAM</w:t>
            </w:r>
          </w:p>
          <w:p w14:paraId="457C6FE0" w14:textId="77777777" w:rsidR="00790410" w:rsidRPr="00812C8C" w:rsidRDefault="00790410" w:rsidP="00742844">
            <w:pPr>
              <w:spacing w:line="340" w:lineRule="exact"/>
              <w:ind w:hanging="567"/>
              <w:jc w:val="center"/>
              <w:rPr>
                <w:rFonts w:ascii="Times New Roman" w:hAnsi="Times New Roman"/>
                <w:b/>
                <w:sz w:val="26"/>
                <w:szCs w:val="26"/>
              </w:rPr>
            </w:pPr>
            <w:r w:rsidRPr="00812C8C">
              <w:rPr>
                <w:rFonts w:ascii="Times New Roman" w:hAnsi="Times New Roman"/>
                <w:b/>
                <w:sz w:val="26"/>
                <w:szCs w:val="26"/>
              </w:rPr>
              <w:t>Độc lập - Tự do - Hạnh phúc</w:t>
            </w:r>
          </w:p>
          <w:p w14:paraId="51DCB11A" w14:textId="77777777" w:rsidR="00790410" w:rsidRPr="00812C8C" w:rsidRDefault="00790410" w:rsidP="00B41C79">
            <w:pPr>
              <w:spacing w:line="340" w:lineRule="exact"/>
              <w:jc w:val="center"/>
              <w:rPr>
                <w:rFonts w:ascii="Times New Roman" w:hAnsi="Times New Roman"/>
                <w:b/>
              </w:rPr>
            </w:pPr>
            <w:r w:rsidRPr="00812C8C">
              <w:rPr>
                <w:rFonts w:ascii="Times New Roman" w:hAnsi="Times New Roman"/>
                <w:b/>
                <w:noProof/>
              </w:rPr>
              <mc:AlternateContent>
                <mc:Choice Requires="wps">
                  <w:drawing>
                    <wp:anchor distT="0" distB="0" distL="114300" distR="114300" simplePos="0" relativeHeight="251660288" behindDoc="0" locked="0" layoutInCell="1" allowOverlap="1" wp14:anchorId="593F73EC" wp14:editId="22280A3A">
                      <wp:simplePos x="0" y="0"/>
                      <wp:positionH relativeFrom="column">
                        <wp:posOffset>462915</wp:posOffset>
                      </wp:positionH>
                      <wp:positionV relativeFrom="paragraph">
                        <wp:posOffset>13496</wp:posOffset>
                      </wp:positionV>
                      <wp:extent cx="2028825" cy="0"/>
                      <wp:effectExtent l="0" t="0" r="0" b="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E6AF10" id="Line 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05pt" to="19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"/>
                  </w:pict>
                </mc:Fallback>
              </mc:AlternateContent>
            </w:r>
          </w:p>
          <w:p w14:paraId="1A830C49" w14:textId="4F477F6A" w:rsidR="00790410" w:rsidRPr="00812C8C" w:rsidRDefault="00790410" w:rsidP="004454C2">
            <w:pPr>
              <w:tabs>
                <w:tab w:val="left" w:pos="1305"/>
              </w:tabs>
              <w:ind w:left="-254"/>
              <w:jc w:val="center"/>
              <w:rPr>
                <w:rFonts w:ascii="Times New Roman" w:hAnsi="Times New Roman"/>
                <w:i/>
              </w:rPr>
            </w:pPr>
            <w:r w:rsidRPr="00812C8C">
              <w:rPr>
                <w:rFonts w:ascii="Times New Roman" w:hAnsi="Times New Roman"/>
                <w:i/>
              </w:rPr>
              <w:t xml:space="preserve">Hà Nội, ngày </w:t>
            </w:r>
            <w:r w:rsidR="00BC04DA">
              <w:rPr>
                <w:rFonts w:ascii="Times New Roman" w:hAnsi="Times New Roman"/>
                <w:i/>
              </w:rPr>
              <w:t xml:space="preserve">27 </w:t>
            </w:r>
            <w:r w:rsidRPr="00812C8C">
              <w:rPr>
                <w:rFonts w:ascii="Times New Roman" w:hAnsi="Times New Roman"/>
                <w:i/>
              </w:rPr>
              <w:t>tháng</w:t>
            </w:r>
            <w:r>
              <w:rPr>
                <w:rFonts w:ascii="Times New Roman" w:hAnsi="Times New Roman"/>
                <w:i/>
              </w:rPr>
              <w:t xml:space="preserve"> </w:t>
            </w:r>
            <w:r w:rsidR="00742844">
              <w:rPr>
                <w:rFonts w:ascii="Times New Roman" w:hAnsi="Times New Roman"/>
                <w:i/>
              </w:rPr>
              <w:t>6</w:t>
            </w:r>
            <w:r w:rsidRPr="00812C8C">
              <w:rPr>
                <w:rFonts w:ascii="Times New Roman" w:hAnsi="Times New Roman"/>
                <w:i/>
              </w:rPr>
              <w:t xml:space="preserve"> năm 2025</w:t>
            </w:r>
          </w:p>
        </w:tc>
      </w:tr>
    </w:tbl>
    <w:p w14:paraId="48808107" w14:textId="77777777" w:rsidR="00790410" w:rsidRPr="00AC764B" w:rsidRDefault="00790410" w:rsidP="00790410">
      <w:pPr>
        <w:spacing w:before="120" w:after="80" w:line="280" w:lineRule="exact"/>
        <w:jc w:val="center"/>
        <w:rPr>
          <w:rFonts w:ascii="Times New Roman" w:hAnsi="Times New Roman"/>
          <w:b/>
        </w:rPr>
      </w:pPr>
      <w:r w:rsidRPr="00AC764B">
        <w:rPr>
          <w:rFonts w:ascii="Times New Roman" w:hAnsi="Times New Roman"/>
          <w:b/>
        </w:rPr>
        <w:t>NGHỊ QUYẾT</w:t>
      </w:r>
    </w:p>
    <w:p w14:paraId="04E2B54D" w14:textId="77777777" w:rsidR="00790410" w:rsidRPr="00AC764B" w:rsidRDefault="00790410" w:rsidP="00790410">
      <w:pPr>
        <w:jc w:val="center"/>
        <w:rPr>
          <w:rFonts w:ascii="Times New Roman" w:hAnsi="Times New Roman"/>
          <w:b/>
        </w:rPr>
      </w:pPr>
      <w:r>
        <w:rPr>
          <w:rFonts w:ascii="Times New Roman" w:hAnsi="Times New Roman"/>
          <w:b/>
          <w:spacing w:val="4"/>
        </w:rPr>
        <w:t>V</w:t>
      </w:r>
      <w:r w:rsidRPr="00AC764B">
        <w:rPr>
          <w:rFonts w:ascii="Times New Roman" w:hAnsi="Times New Roman"/>
          <w:b/>
          <w:spacing w:val="4"/>
        </w:rPr>
        <w:t>ề Danh sách Ủy viên Hội</w:t>
      </w:r>
      <w:r w:rsidRPr="00AC764B">
        <w:rPr>
          <w:rFonts w:ascii="Times New Roman" w:hAnsi="Times New Roman"/>
          <w:b/>
        </w:rPr>
        <w:t xml:space="preserve"> đồng tuyển chọn, giám sát Thẩm phán quốc gia</w:t>
      </w:r>
    </w:p>
    <w:p w14:paraId="0851F097" w14:textId="77777777" w:rsidR="00790410" w:rsidRPr="00AC764B" w:rsidRDefault="00790410" w:rsidP="00790410">
      <w:pPr>
        <w:spacing w:before="360"/>
        <w:jc w:val="center"/>
        <w:rPr>
          <w:rFonts w:ascii="Times New Roman" w:hAnsi="Times New Roman"/>
          <w:b/>
        </w:rPr>
      </w:pPr>
      <w:r w:rsidRPr="00AC764B">
        <w:rPr>
          <w:rFonts w:ascii="Times New Roman" w:hAnsi="Times New Roman"/>
          <w:b/>
          <w:noProof/>
        </w:rPr>
        <mc:AlternateContent>
          <mc:Choice Requires="wps">
            <w:drawing>
              <wp:anchor distT="0" distB="0" distL="114300" distR="114300" simplePos="0" relativeHeight="251659264" behindDoc="0" locked="0" layoutInCell="1" allowOverlap="1" wp14:anchorId="5EE77846" wp14:editId="70FE0CA3">
                <wp:simplePos x="0" y="0"/>
                <wp:positionH relativeFrom="column">
                  <wp:posOffset>2396490</wp:posOffset>
                </wp:positionH>
                <wp:positionV relativeFrom="paragraph">
                  <wp:posOffset>53975</wp:posOffset>
                </wp:positionV>
                <wp:extent cx="857250" cy="0"/>
                <wp:effectExtent l="0" t="0" r="0" b="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068D301" id="Line 3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4.25pt" to="256.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"/>
            </w:pict>
          </mc:Fallback>
        </mc:AlternateContent>
      </w:r>
      <w:r w:rsidRPr="00AC764B">
        <w:rPr>
          <w:rFonts w:ascii="Times New Roman" w:hAnsi="Times New Roman"/>
          <w:b/>
        </w:rPr>
        <w:t>ỦY BAN THƯỜNG VỤ QUỐC HỘI</w:t>
      </w:r>
    </w:p>
    <w:p w14:paraId="4A878B60" w14:textId="77777777" w:rsidR="00790410" w:rsidRPr="00AC764B" w:rsidRDefault="00790410" w:rsidP="00790410">
      <w:pPr>
        <w:spacing w:before="240" w:line="276" w:lineRule="auto"/>
        <w:ind w:firstLine="567"/>
        <w:jc w:val="both"/>
        <w:rPr>
          <w:rFonts w:ascii="Times New Roman" w:hAnsi="Times New Roman"/>
          <w:i/>
          <w:lang w:val="es-ES"/>
        </w:rPr>
      </w:pPr>
      <w:r w:rsidRPr="00AC764B">
        <w:rPr>
          <w:rFonts w:ascii="Times New Roman" w:hAnsi="Times New Roman"/>
          <w:i/>
          <w:lang w:val="es-ES"/>
        </w:rPr>
        <w:t>Căn cứ Hiến pháp nước Cộng hòa xã hội chủ nghĩa Việt Nam</w:t>
      </w:r>
      <w:r>
        <w:rPr>
          <w:rFonts w:ascii="Times New Roman" w:hAnsi="Times New Roman"/>
          <w:i/>
          <w:lang w:val="es-ES"/>
        </w:rPr>
        <w:t xml:space="preserve"> </w:t>
      </w:r>
      <w:r w:rsidRPr="009A088D">
        <w:rPr>
          <w:rFonts w:ascii="Times New Roman" w:hAnsi="Times New Roman"/>
          <w:i/>
        </w:rPr>
        <w:t>đã được sửa đổi, bổ sung một số điều theo Nghị quyết số 203/2025/QH15</w:t>
      </w:r>
      <w:r w:rsidRPr="00AC764B">
        <w:rPr>
          <w:rFonts w:ascii="Times New Roman" w:hAnsi="Times New Roman"/>
          <w:i/>
          <w:lang w:val="es-ES"/>
        </w:rPr>
        <w:t>;</w:t>
      </w:r>
    </w:p>
    <w:p w14:paraId="4CFAB665" w14:textId="76CD2958" w:rsidR="00790410" w:rsidRPr="00AC764B" w:rsidRDefault="00790410" w:rsidP="00790410">
      <w:pPr>
        <w:spacing w:before="120" w:line="276" w:lineRule="auto"/>
        <w:ind w:firstLine="567"/>
        <w:jc w:val="both"/>
        <w:rPr>
          <w:rFonts w:ascii="Times New Roman" w:hAnsi="Times New Roman"/>
          <w:i/>
          <w:lang w:val="es-ES"/>
        </w:rPr>
      </w:pPr>
      <w:r w:rsidRPr="00AC764B">
        <w:rPr>
          <w:rFonts w:ascii="Times New Roman" w:hAnsi="Times New Roman"/>
          <w:i/>
          <w:lang w:val="es-ES"/>
        </w:rPr>
        <w:t>Căn cứ Luật Tổ chức Tòa án nhân dân số 34/2024/QH15</w:t>
      </w:r>
      <w:r>
        <w:rPr>
          <w:rFonts w:ascii="Times New Roman" w:hAnsi="Times New Roman"/>
          <w:i/>
          <w:lang w:val="es-ES"/>
        </w:rPr>
        <w:t xml:space="preserve"> đã được sửa đổi, bổ sung một số điều theo Luật số </w:t>
      </w:r>
      <w:r w:rsidR="00742844">
        <w:rPr>
          <w:rFonts w:ascii="Times New Roman" w:hAnsi="Times New Roman"/>
          <w:i/>
          <w:lang w:val="es-ES"/>
        </w:rPr>
        <w:t>81</w:t>
      </w:r>
      <w:r>
        <w:rPr>
          <w:rFonts w:ascii="Times New Roman" w:hAnsi="Times New Roman"/>
          <w:i/>
          <w:lang w:val="es-ES"/>
        </w:rPr>
        <w:t>/2025/QH15;</w:t>
      </w:r>
    </w:p>
    <w:p w14:paraId="49341656" w14:textId="30813385" w:rsidR="00790410" w:rsidRPr="00AC764B" w:rsidRDefault="00790410" w:rsidP="00790410">
      <w:pPr>
        <w:spacing w:before="120" w:line="276" w:lineRule="auto"/>
        <w:ind w:firstLine="567"/>
        <w:jc w:val="both"/>
        <w:rPr>
          <w:rFonts w:ascii="Times New Roman" w:hAnsi="Times New Roman"/>
          <w:i/>
          <w:lang w:val="es-ES"/>
        </w:rPr>
      </w:pPr>
      <w:r w:rsidRPr="00AC764B">
        <w:rPr>
          <w:rFonts w:ascii="Times New Roman" w:hAnsi="Times New Roman"/>
          <w:i/>
          <w:lang w:val="es-ES"/>
        </w:rPr>
        <w:t xml:space="preserve">Xét đề nghị của Chánh án Tòa án nhân dân tối cao tại Tờ trình số </w:t>
      </w:r>
      <w:r>
        <w:rPr>
          <w:rFonts w:ascii="Times New Roman" w:hAnsi="Times New Roman"/>
          <w:i/>
          <w:lang w:val="es-ES"/>
        </w:rPr>
        <w:t>442</w:t>
      </w:r>
      <w:r w:rsidRPr="00AC764B">
        <w:rPr>
          <w:rFonts w:ascii="Times New Roman" w:hAnsi="Times New Roman"/>
          <w:i/>
          <w:lang w:val="es-ES"/>
        </w:rPr>
        <w:t xml:space="preserve">/TTr-TANDTC ngày </w:t>
      </w:r>
      <w:r>
        <w:rPr>
          <w:rFonts w:ascii="Times New Roman" w:hAnsi="Times New Roman"/>
          <w:i/>
          <w:lang w:val="es-ES"/>
        </w:rPr>
        <w:t>03</w:t>
      </w:r>
      <w:r w:rsidRPr="00AC764B">
        <w:rPr>
          <w:rFonts w:ascii="Times New Roman" w:hAnsi="Times New Roman"/>
          <w:i/>
          <w:lang w:val="es-ES"/>
        </w:rPr>
        <w:t xml:space="preserve"> tháng </w:t>
      </w:r>
      <w:r>
        <w:rPr>
          <w:rFonts w:ascii="Times New Roman" w:hAnsi="Times New Roman"/>
          <w:i/>
          <w:lang w:val="es-ES"/>
        </w:rPr>
        <w:t>6</w:t>
      </w:r>
      <w:r w:rsidRPr="00AC764B">
        <w:rPr>
          <w:rFonts w:ascii="Times New Roman" w:hAnsi="Times New Roman"/>
          <w:i/>
          <w:lang w:val="es-ES"/>
        </w:rPr>
        <w:t xml:space="preserve"> năm 202</w:t>
      </w:r>
      <w:r w:rsidRPr="00AC764B">
        <w:rPr>
          <w:rFonts w:ascii="Times New Roman" w:hAnsi="Times New Roman"/>
          <w:i/>
        </w:rPr>
        <w:t>5</w:t>
      </w:r>
      <w:r w:rsidRPr="00AC764B">
        <w:rPr>
          <w:rFonts w:ascii="Times New Roman" w:hAnsi="Times New Roman"/>
          <w:i/>
          <w:lang w:val="es-ES"/>
        </w:rPr>
        <w:t xml:space="preserve"> và Báo cáo thẩm tra số</w:t>
      </w:r>
      <w:r>
        <w:rPr>
          <w:rFonts w:ascii="Times New Roman" w:hAnsi="Times New Roman"/>
          <w:i/>
          <w:lang w:val="es-ES"/>
        </w:rPr>
        <w:t xml:space="preserve"> 546</w:t>
      </w:r>
      <w:r w:rsidRPr="00AC764B">
        <w:rPr>
          <w:rFonts w:ascii="Times New Roman" w:hAnsi="Times New Roman"/>
          <w:i/>
          <w:lang w:val="es-ES"/>
        </w:rPr>
        <w:t xml:space="preserve">/BC-UBPLTP15 ngày </w:t>
      </w:r>
      <w:r>
        <w:rPr>
          <w:rFonts w:ascii="Times New Roman" w:hAnsi="Times New Roman"/>
          <w:i/>
          <w:lang w:val="es-ES"/>
        </w:rPr>
        <w:t>23</w:t>
      </w:r>
      <w:r w:rsidRPr="00AC764B">
        <w:rPr>
          <w:rFonts w:ascii="Times New Roman" w:hAnsi="Times New Roman"/>
          <w:i/>
          <w:lang w:val="es-ES"/>
        </w:rPr>
        <w:t xml:space="preserve"> tháng </w:t>
      </w:r>
      <w:r>
        <w:rPr>
          <w:rFonts w:ascii="Times New Roman" w:hAnsi="Times New Roman"/>
          <w:i/>
          <w:lang w:val="es-ES"/>
        </w:rPr>
        <w:t>6</w:t>
      </w:r>
      <w:r w:rsidRPr="00AC764B">
        <w:rPr>
          <w:rFonts w:ascii="Times New Roman" w:hAnsi="Times New Roman"/>
          <w:i/>
          <w:lang w:val="es-ES"/>
        </w:rPr>
        <w:t xml:space="preserve"> năm 2025 của Ủy ban Pháp luật và Tư pháp</w:t>
      </w:r>
      <w:r>
        <w:rPr>
          <w:rFonts w:ascii="Times New Roman" w:hAnsi="Times New Roman"/>
          <w:i/>
          <w:lang w:val="es-ES"/>
        </w:rPr>
        <w:t xml:space="preserve"> của Quốc hội</w:t>
      </w:r>
      <w:r w:rsidR="00174BD3">
        <w:rPr>
          <w:rFonts w:ascii="Times New Roman" w:hAnsi="Times New Roman"/>
          <w:i/>
          <w:lang w:val="es-ES"/>
        </w:rPr>
        <w:t>;</w:t>
      </w:r>
    </w:p>
    <w:p w14:paraId="6E49AC51" w14:textId="77777777" w:rsidR="00790410" w:rsidRPr="00AC764B" w:rsidRDefault="00790410" w:rsidP="00790410">
      <w:pPr>
        <w:jc w:val="center"/>
        <w:rPr>
          <w:rFonts w:ascii="Times New Roman" w:hAnsi="Times New Roman"/>
          <w:b/>
          <w:lang w:val="es-ES"/>
        </w:rPr>
      </w:pPr>
    </w:p>
    <w:p w14:paraId="1B649FC8" w14:textId="77777777" w:rsidR="00790410" w:rsidRPr="00AC764B" w:rsidRDefault="00790410" w:rsidP="00790410">
      <w:pPr>
        <w:jc w:val="center"/>
        <w:rPr>
          <w:rFonts w:ascii="Times New Roman" w:hAnsi="Times New Roman"/>
          <w:b/>
          <w:lang w:val="es-ES"/>
        </w:rPr>
      </w:pPr>
      <w:r w:rsidRPr="00AC764B">
        <w:rPr>
          <w:rFonts w:ascii="Times New Roman" w:hAnsi="Times New Roman"/>
          <w:b/>
          <w:lang w:val="es-ES"/>
        </w:rPr>
        <w:t>QUYẾT NGHỊ:</w:t>
      </w:r>
    </w:p>
    <w:p w14:paraId="7E5274F9" w14:textId="77777777" w:rsidR="00790410" w:rsidRPr="00AC764B" w:rsidRDefault="00790410" w:rsidP="00790410">
      <w:pPr>
        <w:jc w:val="center"/>
        <w:rPr>
          <w:rFonts w:ascii="Times New Roman" w:hAnsi="Times New Roman"/>
          <w:b/>
          <w:lang w:val="es-ES"/>
        </w:rPr>
      </w:pPr>
    </w:p>
    <w:p w14:paraId="61CFF739" w14:textId="7FDD3302" w:rsidR="00081FD9" w:rsidRDefault="00790410" w:rsidP="00A0275F">
      <w:pPr>
        <w:spacing w:line="360" w:lineRule="auto"/>
        <w:ind w:firstLine="567"/>
        <w:jc w:val="both"/>
        <w:rPr>
          <w:rFonts w:ascii="Times New Roman" w:hAnsi="Times New Roman"/>
          <w:b/>
          <w:spacing w:val="-4"/>
          <w:lang w:val="it-IT"/>
        </w:rPr>
      </w:pPr>
      <w:r w:rsidRPr="00AC764B">
        <w:rPr>
          <w:rFonts w:ascii="Times New Roman" w:hAnsi="Times New Roman"/>
          <w:b/>
          <w:spacing w:val="-4"/>
          <w:lang w:val="it-IT"/>
        </w:rPr>
        <w:t>Điều 1</w:t>
      </w:r>
    </w:p>
    <w:p w14:paraId="0E6C2C0B" w14:textId="0563D430" w:rsidR="00790410" w:rsidRPr="000A3B15" w:rsidRDefault="00790410" w:rsidP="00A0275F">
      <w:pPr>
        <w:spacing w:line="360" w:lineRule="auto"/>
        <w:ind w:firstLine="567"/>
        <w:jc w:val="both"/>
        <w:rPr>
          <w:rFonts w:ascii="Times New Roman" w:hAnsi="Times New Roman"/>
          <w:bCs/>
          <w:spacing w:val="2"/>
        </w:rPr>
      </w:pPr>
      <w:r w:rsidRPr="000A3B15">
        <w:rPr>
          <w:rFonts w:ascii="Times New Roman" w:hAnsi="Times New Roman"/>
          <w:bCs/>
          <w:spacing w:val="2"/>
        </w:rPr>
        <w:t xml:space="preserve">Danh sách Ủy viên Hội đồng tuyển chọn, giám sát Thẩm phán quốc gia gồm có: </w:t>
      </w:r>
    </w:p>
    <w:p w14:paraId="66E26714"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 xml:space="preserve">1. Chánh án Tòa án quân sự </w:t>
      </w:r>
      <w:r>
        <w:rPr>
          <w:rFonts w:ascii="Times New Roman" w:hAnsi="Times New Roman"/>
          <w:bCs/>
        </w:rPr>
        <w:t>t</w:t>
      </w:r>
      <w:r w:rsidRPr="00CD3D45">
        <w:rPr>
          <w:rFonts w:ascii="Times New Roman" w:hAnsi="Times New Roman"/>
          <w:bCs/>
        </w:rPr>
        <w:t>rung ương;</w:t>
      </w:r>
    </w:p>
    <w:p w14:paraId="1699563D"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 xml:space="preserve">2. 01 thủ trưởng đơn vị </w:t>
      </w:r>
      <w:r w:rsidRPr="000A3B15">
        <w:rPr>
          <w:rFonts w:ascii="Times New Roman" w:hAnsi="Times New Roman"/>
          <w:bCs/>
        </w:rPr>
        <w:t>thuộc Tòa</w:t>
      </w:r>
      <w:r w:rsidRPr="00CD3D45">
        <w:rPr>
          <w:rFonts w:ascii="Times New Roman" w:hAnsi="Times New Roman"/>
          <w:bCs/>
        </w:rPr>
        <w:t xml:space="preserve"> án nhân dân tối cao là Thẩm phán Tòa án nhân dân, 01 Chánh tòa Tòa Phúc thẩm Tòa án nhân dân tối cao, 01 Chánh án Tòa án nhân dân cấp tỉnh do Chánh án Tòa án nhân dân tối cao chỉ định;</w:t>
      </w:r>
    </w:p>
    <w:p w14:paraId="138E3230" w14:textId="77777777" w:rsidR="00790410" w:rsidRPr="000C7568" w:rsidRDefault="00790410" w:rsidP="00790410">
      <w:pPr>
        <w:tabs>
          <w:tab w:val="left" w:pos="851"/>
        </w:tabs>
        <w:spacing w:line="360" w:lineRule="auto"/>
        <w:ind w:firstLine="567"/>
        <w:jc w:val="both"/>
        <w:rPr>
          <w:rFonts w:ascii="Times New Roman" w:hAnsi="Times New Roman"/>
          <w:bCs/>
          <w:spacing w:val="2"/>
        </w:rPr>
      </w:pPr>
      <w:r w:rsidRPr="000C7568">
        <w:rPr>
          <w:rFonts w:ascii="Times New Roman" w:hAnsi="Times New Roman"/>
          <w:bCs/>
          <w:spacing w:val="2"/>
        </w:rPr>
        <w:t xml:space="preserve">3. Ông Hoàng Công Thủy, Phó Chủ tịch </w:t>
      </w:r>
      <w:r>
        <w:rPr>
          <w:rFonts w:ascii="Times New Roman" w:hAnsi="Times New Roman"/>
          <w:bCs/>
          <w:spacing w:val="2"/>
        </w:rPr>
        <w:t xml:space="preserve">Ủy ban </w:t>
      </w:r>
      <w:r w:rsidRPr="000C7568">
        <w:rPr>
          <w:rFonts w:ascii="Times New Roman" w:hAnsi="Times New Roman"/>
          <w:bCs/>
          <w:spacing w:val="2"/>
        </w:rPr>
        <w:t>Trung ương Mặt trận Tổ quốc Việt Nam;</w:t>
      </w:r>
    </w:p>
    <w:p w14:paraId="51280E9D"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4. Ông Nguyễn Khánh Ngọc, Chủ tịch Hội Luật gia Việt Nam;</w:t>
      </w:r>
    </w:p>
    <w:p w14:paraId="08C57933"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5. Ông Phạm Thanh Hà, Phó Chủ nhiệm Văn phòng Chủ tịch nước;</w:t>
      </w:r>
    </w:p>
    <w:p w14:paraId="1AC75D0A"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6. Bà Đặng Hoàng Oanh, Thứ trưởng Bộ Tư pháp;</w:t>
      </w:r>
    </w:p>
    <w:p w14:paraId="6D49155B"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7. Ông Võ Minh Lương, Thứ trưởng Bộ Quốc phòng;</w:t>
      </w:r>
    </w:p>
    <w:p w14:paraId="27C54443" w14:textId="77777777" w:rsidR="00790410" w:rsidRPr="00CD3D45"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8. Ông Trương Hải Long, Thứ trưởng Bộ Nội vụ;</w:t>
      </w:r>
    </w:p>
    <w:p w14:paraId="55D89016" w14:textId="77777777" w:rsidR="00790410" w:rsidRPr="00891D5E" w:rsidRDefault="00790410" w:rsidP="00790410">
      <w:pPr>
        <w:tabs>
          <w:tab w:val="left" w:pos="851"/>
        </w:tabs>
        <w:spacing w:line="360" w:lineRule="auto"/>
        <w:ind w:firstLine="567"/>
        <w:jc w:val="both"/>
        <w:rPr>
          <w:rFonts w:ascii="Times New Roman" w:hAnsi="Times New Roman"/>
          <w:bCs/>
        </w:rPr>
      </w:pPr>
      <w:r w:rsidRPr="00CD3D45">
        <w:rPr>
          <w:rFonts w:ascii="Times New Roman" w:hAnsi="Times New Roman"/>
          <w:bCs/>
        </w:rPr>
        <w:t>9. Ông Bùi Văn Khắng, Thứ trưởng Bộ Tài chính.</w:t>
      </w:r>
    </w:p>
    <w:p w14:paraId="701C7C59" w14:textId="275F31B2" w:rsidR="00790410" w:rsidRDefault="00790410" w:rsidP="00790410">
      <w:pPr>
        <w:spacing w:line="360" w:lineRule="auto"/>
        <w:ind w:firstLine="567"/>
        <w:jc w:val="both"/>
        <w:rPr>
          <w:rFonts w:ascii="Times New Roman" w:hAnsi="Times New Roman"/>
          <w:b/>
          <w:shd w:val="clear" w:color="auto" w:fill="FFFFFF"/>
        </w:rPr>
      </w:pPr>
      <w:r w:rsidRPr="00AC764B">
        <w:rPr>
          <w:rFonts w:ascii="Times New Roman" w:hAnsi="Times New Roman"/>
          <w:b/>
          <w:shd w:val="clear" w:color="auto" w:fill="FFFFFF"/>
        </w:rPr>
        <w:lastRenderedPageBreak/>
        <w:t>Điều 2</w:t>
      </w:r>
    </w:p>
    <w:p w14:paraId="0FDB52CD" w14:textId="77777777" w:rsidR="00790410" w:rsidRDefault="00790410" w:rsidP="00790410">
      <w:pPr>
        <w:spacing w:line="360" w:lineRule="auto"/>
        <w:ind w:firstLine="567"/>
        <w:jc w:val="both"/>
        <w:rPr>
          <w:rFonts w:ascii="Times New Roman" w:hAnsi="Times New Roman"/>
          <w:bCs/>
          <w:shd w:val="clear" w:color="auto" w:fill="FFFFFF"/>
        </w:rPr>
      </w:pPr>
      <w:r>
        <w:rPr>
          <w:rFonts w:ascii="Times New Roman" w:hAnsi="Times New Roman"/>
          <w:bCs/>
          <w:shd w:val="clear" w:color="auto" w:fill="FFFFFF"/>
        </w:rPr>
        <w:t xml:space="preserve">Ủy viên Hội đồng tuyển chọn, giám sát Thẩm phán quốc gia hoạt động theo quy </w:t>
      </w:r>
      <w:r w:rsidRPr="00CE3DE2">
        <w:rPr>
          <w:rFonts w:ascii="Times New Roman" w:hAnsi="Times New Roman"/>
          <w:bCs/>
          <w:shd w:val="clear" w:color="auto" w:fill="FFFFFF"/>
        </w:rPr>
        <w:t>định của Luật Tổ chức Tòa án nhân dân và Quy</w:t>
      </w:r>
      <w:r>
        <w:rPr>
          <w:rFonts w:ascii="Times New Roman" w:hAnsi="Times New Roman"/>
          <w:bCs/>
          <w:shd w:val="clear" w:color="auto" w:fill="FFFFFF"/>
        </w:rPr>
        <w:t xml:space="preserve"> chế hoạt động của Hội đồng tuyển chọn, giám sát Thẩm phán quốc gia.</w:t>
      </w:r>
    </w:p>
    <w:p w14:paraId="6C044EAC" w14:textId="2985032A" w:rsidR="00790410" w:rsidRPr="00CD3D45" w:rsidRDefault="00790410" w:rsidP="00790410">
      <w:pPr>
        <w:spacing w:line="360" w:lineRule="auto"/>
        <w:ind w:firstLine="567"/>
        <w:jc w:val="both"/>
        <w:rPr>
          <w:rFonts w:ascii="Times New Roman" w:hAnsi="Times New Roman"/>
          <w:b/>
          <w:shd w:val="clear" w:color="auto" w:fill="FFFFFF"/>
        </w:rPr>
      </w:pPr>
      <w:r w:rsidRPr="00CD3D45">
        <w:rPr>
          <w:rFonts w:ascii="Times New Roman" w:hAnsi="Times New Roman"/>
          <w:b/>
          <w:shd w:val="clear" w:color="auto" w:fill="FFFFFF"/>
        </w:rPr>
        <w:t>Điều 3</w:t>
      </w:r>
    </w:p>
    <w:p w14:paraId="7C4B1245" w14:textId="77777777" w:rsidR="00790410" w:rsidRDefault="00790410" w:rsidP="00790410">
      <w:pPr>
        <w:spacing w:line="360" w:lineRule="auto"/>
        <w:ind w:firstLine="567"/>
        <w:jc w:val="both"/>
        <w:rPr>
          <w:rFonts w:ascii="Times New Roman" w:hAnsi="Times New Roman"/>
          <w:bCs/>
          <w:shd w:val="clear" w:color="auto" w:fill="FFFFFF"/>
        </w:rPr>
      </w:pPr>
      <w:r>
        <w:rPr>
          <w:rFonts w:ascii="Times New Roman" w:hAnsi="Times New Roman"/>
          <w:bCs/>
          <w:shd w:val="clear" w:color="auto" w:fill="FFFFFF"/>
        </w:rPr>
        <w:t>Các ông, bà có tên tại Điều 1 và các cơ quan, tổ chức có liên quan chịu trách nhiệm thi hành Nghị quyết này.</w:t>
      </w:r>
    </w:p>
    <w:p w14:paraId="6708CF95" w14:textId="3EDF6B84" w:rsidR="00790410" w:rsidRPr="00CD3D45" w:rsidRDefault="00790410" w:rsidP="00790410">
      <w:pPr>
        <w:spacing w:line="360" w:lineRule="auto"/>
        <w:ind w:firstLine="567"/>
        <w:jc w:val="both"/>
        <w:rPr>
          <w:rFonts w:ascii="Times New Roman" w:hAnsi="Times New Roman"/>
          <w:b/>
          <w:shd w:val="clear" w:color="auto" w:fill="FFFFFF"/>
        </w:rPr>
      </w:pPr>
      <w:r w:rsidRPr="00CD3D45">
        <w:rPr>
          <w:rFonts w:ascii="Times New Roman" w:hAnsi="Times New Roman"/>
          <w:b/>
          <w:shd w:val="clear" w:color="auto" w:fill="FFFFFF"/>
        </w:rPr>
        <w:t>Điều 4</w:t>
      </w:r>
    </w:p>
    <w:p w14:paraId="58108455" w14:textId="22E46034" w:rsidR="00790410" w:rsidRPr="00AC764B" w:rsidRDefault="00790410" w:rsidP="00790410">
      <w:pPr>
        <w:spacing w:after="240" w:line="360" w:lineRule="auto"/>
        <w:ind w:firstLine="567"/>
        <w:jc w:val="both"/>
        <w:rPr>
          <w:rFonts w:ascii="Times New Roman" w:hAnsi="Times New Roman"/>
          <w:shd w:val="clear" w:color="auto" w:fill="FFFFFF"/>
        </w:rPr>
      </w:pPr>
      <w:bookmarkStart w:id="0" w:name="dieu_5"/>
      <w:r w:rsidRPr="00AC764B">
        <w:rPr>
          <w:rFonts w:ascii="Times New Roman" w:hAnsi="Times New Roman"/>
          <w:shd w:val="clear" w:color="auto" w:fill="FFFFFF"/>
        </w:rPr>
        <w:t xml:space="preserve">Nghị quyết này có hiệu lực thi hành từ ngày </w:t>
      </w:r>
      <w:r>
        <w:rPr>
          <w:rFonts w:ascii="Times New Roman" w:hAnsi="Times New Roman"/>
          <w:shd w:val="clear" w:color="auto" w:fill="FFFFFF"/>
        </w:rPr>
        <w:t>01</w:t>
      </w:r>
      <w:r w:rsidRPr="00AC764B">
        <w:rPr>
          <w:rFonts w:ascii="Times New Roman" w:hAnsi="Times New Roman"/>
          <w:shd w:val="clear" w:color="auto" w:fill="FFFFFF"/>
        </w:rPr>
        <w:t xml:space="preserve"> tháng </w:t>
      </w:r>
      <w:r>
        <w:rPr>
          <w:rFonts w:ascii="Times New Roman" w:hAnsi="Times New Roman"/>
          <w:shd w:val="clear" w:color="auto" w:fill="FFFFFF"/>
        </w:rPr>
        <w:t xml:space="preserve">7 </w:t>
      </w:r>
      <w:r w:rsidRPr="00AC764B">
        <w:rPr>
          <w:rFonts w:ascii="Times New Roman" w:hAnsi="Times New Roman"/>
          <w:shd w:val="clear" w:color="auto" w:fill="FFFFFF"/>
        </w:rPr>
        <w:t>năm 2025.</w:t>
      </w:r>
      <w:bookmarkEnd w:id="0"/>
    </w:p>
    <w:tbl>
      <w:tblPr>
        <w:tblW w:w="9072" w:type="dxa"/>
        <w:tblLook w:val="01E0" w:firstRow="1" w:lastRow="1" w:firstColumn="1" w:lastColumn="1" w:noHBand="0" w:noVBand="0"/>
      </w:tblPr>
      <w:tblGrid>
        <w:gridCol w:w="3261"/>
        <w:gridCol w:w="5811"/>
      </w:tblGrid>
      <w:tr w:rsidR="00790410" w:rsidRPr="008D25C2" w14:paraId="11410E1C" w14:textId="77777777" w:rsidTr="009B6755">
        <w:tc>
          <w:tcPr>
            <w:tcW w:w="3261" w:type="dxa"/>
          </w:tcPr>
          <w:p w14:paraId="0CB19EBA" w14:textId="77777777" w:rsidR="00790410" w:rsidRDefault="00790410" w:rsidP="00B41C79">
            <w:pPr>
              <w:pStyle w:val="BodyTextIndent"/>
              <w:tabs>
                <w:tab w:val="left" w:pos="1260"/>
              </w:tabs>
              <w:spacing w:after="0"/>
              <w:ind w:left="0"/>
              <w:jc w:val="both"/>
              <w:rPr>
                <w:b/>
                <w:i/>
                <w:lang w:val="es-ES"/>
              </w:rPr>
            </w:pPr>
            <w:r w:rsidRPr="00AC764B">
              <w:rPr>
                <w:b/>
                <w:i/>
                <w:lang w:val="es-ES"/>
              </w:rPr>
              <w:t>Nơi nhận:</w:t>
            </w:r>
          </w:p>
          <w:p w14:paraId="152303FD" w14:textId="77777777" w:rsidR="00790410" w:rsidRPr="001F57B7" w:rsidRDefault="00790410" w:rsidP="00B41C79">
            <w:pPr>
              <w:pStyle w:val="BodyTextIndent"/>
              <w:tabs>
                <w:tab w:val="left" w:pos="1260"/>
              </w:tabs>
              <w:spacing w:after="0"/>
              <w:ind w:left="0"/>
              <w:jc w:val="both"/>
              <w:rPr>
                <w:bCs/>
                <w:iCs/>
                <w:sz w:val="22"/>
                <w:szCs w:val="22"/>
                <w:lang w:val="es-ES"/>
              </w:rPr>
            </w:pPr>
            <w:r w:rsidRPr="001F57B7">
              <w:rPr>
                <w:bCs/>
                <w:iCs/>
                <w:sz w:val="22"/>
                <w:szCs w:val="22"/>
                <w:lang w:val="es-ES"/>
              </w:rPr>
              <w:t>- Như Điều 1;</w:t>
            </w:r>
          </w:p>
          <w:p w14:paraId="7B5CC025" w14:textId="13CDBACB" w:rsidR="00790410" w:rsidRPr="009B6755" w:rsidRDefault="00790410" w:rsidP="00B41C79">
            <w:pPr>
              <w:pStyle w:val="BodyTextIndent"/>
              <w:tabs>
                <w:tab w:val="left" w:pos="1260"/>
              </w:tabs>
              <w:spacing w:after="0"/>
              <w:ind w:left="0"/>
              <w:rPr>
                <w:rStyle w:val="vn6"/>
                <w:rFonts w:eastAsia="Calibri"/>
                <w:spacing w:val="2"/>
                <w:sz w:val="22"/>
                <w:szCs w:val="22"/>
                <w:shd w:val="clear" w:color="auto" w:fill="FFFFFF"/>
                <w:lang w:val="es-ES"/>
              </w:rPr>
            </w:pPr>
            <w:r w:rsidRPr="00AC764B">
              <w:rPr>
                <w:rStyle w:val="vn6"/>
                <w:rFonts w:eastAsia="Calibri"/>
                <w:sz w:val="22"/>
                <w:szCs w:val="22"/>
                <w:shd w:val="clear" w:color="auto" w:fill="FFFFFF"/>
                <w:lang w:val="es-ES"/>
              </w:rPr>
              <w:t xml:space="preserve">- </w:t>
            </w:r>
            <w:r w:rsidRPr="009B6755">
              <w:rPr>
                <w:rStyle w:val="vn6"/>
                <w:rFonts w:eastAsia="Calibri"/>
                <w:spacing w:val="2"/>
                <w:sz w:val="22"/>
                <w:szCs w:val="22"/>
                <w:shd w:val="clear" w:color="auto" w:fill="FFFFFF"/>
                <w:lang w:val="es-ES"/>
              </w:rPr>
              <w:t>Ban Chỉ đạo Cải cách Tư pháp Trung ương;</w:t>
            </w:r>
          </w:p>
          <w:p w14:paraId="30445755"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Ủy ban Pháp luật và Tư pháp của Quốc hội;</w:t>
            </w:r>
          </w:p>
          <w:p w14:paraId="48D73683" w14:textId="77777777" w:rsidR="00790410"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Tòa án nhân dân tối cao;</w:t>
            </w:r>
          </w:p>
          <w:p w14:paraId="0353293E" w14:textId="5F388483"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xml:space="preserve">- </w:t>
            </w:r>
            <w:r w:rsidRPr="009B6755">
              <w:rPr>
                <w:rStyle w:val="vn6"/>
                <w:rFonts w:eastAsia="Calibri"/>
                <w:spacing w:val="4"/>
                <w:sz w:val="22"/>
                <w:szCs w:val="22"/>
                <w:shd w:val="clear" w:color="auto" w:fill="FFFFFF"/>
                <w:lang w:val="es-ES"/>
              </w:rPr>
              <w:t>Ủy ban Trung ương Mặt trận Tổ</w:t>
            </w:r>
            <w:r w:rsidRPr="00AC764B">
              <w:rPr>
                <w:rStyle w:val="vn6"/>
                <w:rFonts w:eastAsia="Calibri"/>
                <w:sz w:val="22"/>
                <w:szCs w:val="22"/>
                <w:shd w:val="clear" w:color="auto" w:fill="FFFFFF"/>
                <w:lang w:val="es-ES"/>
              </w:rPr>
              <w:t xml:space="preserve"> quốc Việt Nam;</w:t>
            </w:r>
          </w:p>
          <w:p w14:paraId="2861E759" w14:textId="77777777" w:rsidR="00790410"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Hội Luật gia Việt Nam;</w:t>
            </w:r>
          </w:p>
          <w:p w14:paraId="4EF5012C"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sz w:val="22"/>
                <w:szCs w:val="22"/>
                <w:shd w:val="clear" w:color="auto" w:fill="FFFFFF"/>
                <w:lang w:val="es-ES"/>
              </w:rPr>
              <w:t>-</w:t>
            </w:r>
            <w:r w:rsidRPr="00AC764B">
              <w:rPr>
                <w:rStyle w:val="vn6"/>
                <w:rFonts w:eastAsia="Calibri"/>
                <w:sz w:val="22"/>
                <w:szCs w:val="22"/>
                <w:shd w:val="clear" w:color="auto" w:fill="FFFFFF"/>
                <w:lang w:val="es-ES"/>
              </w:rPr>
              <w:t xml:space="preserve"> Văn phòng Chủ tịch nước;</w:t>
            </w:r>
          </w:p>
          <w:p w14:paraId="283ADC89"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Bộ Quốc phòng;</w:t>
            </w:r>
          </w:p>
          <w:p w14:paraId="752B4EA8"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Bộ Tư pháp;</w:t>
            </w:r>
          </w:p>
          <w:p w14:paraId="19756989"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Bộ Nội vụ;</w:t>
            </w:r>
          </w:p>
          <w:p w14:paraId="485E72D4" w14:textId="77777777" w:rsidR="00790410" w:rsidRDefault="00790410" w:rsidP="00B41C79">
            <w:pPr>
              <w:pStyle w:val="BodyTextIndent"/>
              <w:tabs>
                <w:tab w:val="left" w:pos="1260"/>
              </w:tabs>
              <w:spacing w:after="0"/>
              <w:ind w:left="0"/>
              <w:rPr>
                <w:rStyle w:val="vn6"/>
                <w:rFonts w:eastAsia="Calibri"/>
                <w:sz w:val="22"/>
                <w:szCs w:val="22"/>
                <w:shd w:val="clear" w:color="auto" w:fill="FFFFFF"/>
                <w:lang w:val="es-ES"/>
              </w:rPr>
            </w:pPr>
            <w:r w:rsidRPr="00AC764B">
              <w:rPr>
                <w:rStyle w:val="vn6"/>
                <w:rFonts w:eastAsia="Calibri"/>
                <w:sz w:val="22"/>
                <w:szCs w:val="22"/>
                <w:shd w:val="clear" w:color="auto" w:fill="FFFFFF"/>
                <w:lang w:val="es-ES"/>
              </w:rPr>
              <w:t>- Bộ Tài chính;</w:t>
            </w:r>
          </w:p>
          <w:p w14:paraId="6A68027C" w14:textId="77777777" w:rsidR="00790410" w:rsidRPr="00AC764B" w:rsidRDefault="00790410" w:rsidP="00B41C79">
            <w:pPr>
              <w:pStyle w:val="BodyTextIndent"/>
              <w:tabs>
                <w:tab w:val="left" w:pos="1260"/>
              </w:tabs>
              <w:spacing w:after="0"/>
              <w:ind w:left="0"/>
              <w:rPr>
                <w:rStyle w:val="vn6"/>
                <w:rFonts w:eastAsia="Calibri"/>
                <w:sz w:val="22"/>
                <w:szCs w:val="22"/>
                <w:shd w:val="clear" w:color="auto" w:fill="FFFFFF"/>
                <w:lang w:val="es-ES"/>
              </w:rPr>
            </w:pPr>
            <w:r>
              <w:rPr>
                <w:rStyle w:val="vn6"/>
                <w:rFonts w:eastAsia="Calibri"/>
                <w:sz w:val="22"/>
                <w:szCs w:val="22"/>
                <w:shd w:val="clear" w:color="auto" w:fill="FFFFFF"/>
              </w:rPr>
              <w:t>- Tòa án quân sự trung ương;</w:t>
            </w:r>
          </w:p>
          <w:p w14:paraId="33343639" w14:textId="77777777" w:rsidR="00790410" w:rsidRPr="00AC764B" w:rsidRDefault="00790410" w:rsidP="00B41C79">
            <w:pPr>
              <w:pStyle w:val="BodyTextIndent"/>
              <w:tabs>
                <w:tab w:val="left" w:pos="1260"/>
              </w:tabs>
              <w:spacing w:after="0"/>
              <w:ind w:left="0"/>
              <w:rPr>
                <w:rFonts w:eastAsia="Calibri"/>
                <w:sz w:val="22"/>
                <w:szCs w:val="22"/>
                <w:shd w:val="clear" w:color="auto" w:fill="FFFFFF"/>
                <w:lang w:val="es-ES"/>
              </w:rPr>
            </w:pPr>
            <w:r w:rsidRPr="00AC764B">
              <w:rPr>
                <w:rStyle w:val="vn6"/>
                <w:rFonts w:eastAsia="Calibri"/>
                <w:sz w:val="22"/>
                <w:szCs w:val="22"/>
                <w:shd w:val="clear" w:color="auto" w:fill="FFFFFF"/>
                <w:lang w:val="es-ES"/>
              </w:rPr>
              <w:t xml:space="preserve">- Lưu: HC, PLTP. </w:t>
            </w:r>
          </w:p>
        </w:tc>
        <w:tc>
          <w:tcPr>
            <w:tcW w:w="5811" w:type="dxa"/>
          </w:tcPr>
          <w:p w14:paraId="7511071D" w14:textId="77777777" w:rsidR="00790410" w:rsidRPr="00AC764B" w:rsidRDefault="00790410" w:rsidP="00B41C79">
            <w:pPr>
              <w:pStyle w:val="BodyTextIndent"/>
              <w:tabs>
                <w:tab w:val="left" w:pos="1260"/>
              </w:tabs>
              <w:spacing w:after="0"/>
              <w:ind w:left="0"/>
              <w:jc w:val="center"/>
              <w:rPr>
                <w:b/>
                <w:spacing w:val="-12"/>
                <w:sz w:val="28"/>
                <w:szCs w:val="28"/>
                <w:lang w:val="es-ES"/>
              </w:rPr>
            </w:pPr>
            <w:r w:rsidRPr="00AC764B">
              <w:rPr>
                <w:b/>
                <w:spacing w:val="-12"/>
                <w:sz w:val="28"/>
                <w:szCs w:val="28"/>
                <w:lang w:val="es-ES"/>
              </w:rPr>
              <w:t>TM. ỦY BAN THƯỜNG VỤ QUỐC HỘI</w:t>
            </w:r>
          </w:p>
          <w:p w14:paraId="294ADEA5" w14:textId="77777777" w:rsidR="00790410" w:rsidRPr="00AC764B" w:rsidRDefault="00790410" w:rsidP="00B41C79">
            <w:pPr>
              <w:pStyle w:val="BodyTextIndent"/>
              <w:tabs>
                <w:tab w:val="left" w:pos="1260"/>
              </w:tabs>
              <w:spacing w:after="0"/>
              <w:ind w:left="0"/>
              <w:jc w:val="center"/>
              <w:rPr>
                <w:b/>
                <w:sz w:val="28"/>
                <w:szCs w:val="28"/>
                <w:lang w:val="es-ES"/>
              </w:rPr>
            </w:pPr>
            <w:r w:rsidRPr="00AC764B">
              <w:rPr>
                <w:b/>
                <w:sz w:val="28"/>
                <w:szCs w:val="28"/>
                <w:lang w:val="es-ES"/>
              </w:rPr>
              <w:t>CHỦ TỊCH</w:t>
            </w:r>
          </w:p>
          <w:p w14:paraId="384C2434" w14:textId="77777777" w:rsidR="00790410" w:rsidRPr="00AC764B" w:rsidRDefault="00790410" w:rsidP="00B41C79">
            <w:pPr>
              <w:pStyle w:val="BodyTextIndent"/>
              <w:tabs>
                <w:tab w:val="left" w:pos="1260"/>
              </w:tabs>
              <w:spacing w:before="120" w:after="0" w:line="320" w:lineRule="exact"/>
              <w:ind w:left="0"/>
              <w:jc w:val="center"/>
              <w:rPr>
                <w:b/>
                <w:sz w:val="26"/>
                <w:szCs w:val="26"/>
                <w:lang w:val="es-ES"/>
              </w:rPr>
            </w:pPr>
          </w:p>
          <w:p w14:paraId="5C15A493" w14:textId="77777777" w:rsidR="00790410" w:rsidRPr="00AC764B" w:rsidRDefault="00790410" w:rsidP="00B41C79">
            <w:pPr>
              <w:pStyle w:val="BodyTextIndent"/>
              <w:tabs>
                <w:tab w:val="left" w:pos="1260"/>
              </w:tabs>
              <w:spacing w:before="120" w:after="0" w:line="320" w:lineRule="exact"/>
              <w:ind w:left="0"/>
              <w:jc w:val="center"/>
              <w:rPr>
                <w:b/>
                <w:sz w:val="26"/>
                <w:szCs w:val="26"/>
                <w:lang w:val="es-ES"/>
              </w:rPr>
            </w:pPr>
          </w:p>
          <w:p w14:paraId="45577265" w14:textId="479A789E" w:rsidR="00790410" w:rsidRPr="00177E33" w:rsidRDefault="00177E33" w:rsidP="00B41C79">
            <w:pPr>
              <w:pStyle w:val="BodyTextIndent"/>
              <w:tabs>
                <w:tab w:val="left" w:pos="1260"/>
              </w:tabs>
              <w:spacing w:before="120" w:after="0" w:line="320" w:lineRule="exact"/>
              <w:ind w:left="0"/>
              <w:jc w:val="center"/>
              <w:rPr>
                <w:i/>
                <w:sz w:val="28"/>
                <w:szCs w:val="28"/>
                <w:lang w:val="es-ES"/>
              </w:rPr>
            </w:pPr>
            <w:bookmarkStart w:id="1" w:name="_GoBack"/>
            <w:r w:rsidRPr="00177E33">
              <w:rPr>
                <w:i/>
                <w:sz w:val="28"/>
                <w:szCs w:val="28"/>
                <w:lang w:val="es-ES"/>
              </w:rPr>
              <w:t>(đã ký)</w:t>
            </w:r>
            <w:bookmarkEnd w:id="1"/>
          </w:p>
          <w:p w14:paraId="5D433496" w14:textId="77777777" w:rsidR="009B6755" w:rsidRPr="00AC764B" w:rsidRDefault="009B6755" w:rsidP="00B41C79">
            <w:pPr>
              <w:pStyle w:val="BodyTextIndent"/>
              <w:tabs>
                <w:tab w:val="left" w:pos="1260"/>
              </w:tabs>
              <w:spacing w:before="120" w:after="0" w:line="320" w:lineRule="exact"/>
              <w:ind w:left="0"/>
              <w:jc w:val="center"/>
              <w:rPr>
                <w:b/>
                <w:sz w:val="26"/>
                <w:szCs w:val="26"/>
                <w:lang w:val="es-ES"/>
              </w:rPr>
            </w:pPr>
          </w:p>
          <w:p w14:paraId="46CC621C" w14:textId="77777777" w:rsidR="00790410" w:rsidRPr="00AC764B" w:rsidRDefault="00790410" w:rsidP="00B41C79">
            <w:pPr>
              <w:pStyle w:val="BodyTextIndent"/>
              <w:tabs>
                <w:tab w:val="left" w:pos="1260"/>
              </w:tabs>
              <w:spacing w:before="120" w:after="0" w:line="320" w:lineRule="exact"/>
              <w:ind w:left="0"/>
              <w:jc w:val="center"/>
              <w:rPr>
                <w:b/>
                <w:sz w:val="26"/>
                <w:szCs w:val="26"/>
                <w:lang w:val="es-ES"/>
              </w:rPr>
            </w:pPr>
          </w:p>
          <w:p w14:paraId="29DCA8B6" w14:textId="77777777" w:rsidR="00790410" w:rsidRPr="008D25C2" w:rsidRDefault="00790410" w:rsidP="00B41C79">
            <w:pPr>
              <w:pStyle w:val="BodyTextIndent"/>
              <w:tabs>
                <w:tab w:val="left" w:pos="1260"/>
              </w:tabs>
              <w:spacing w:before="120" w:after="0" w:line="320" w:lineRule="exact"/>
              <w:ind w:left="0"/>
              <w:jc w:val="center"/>
              <w:rPr>
                <w:b/>
                <w:sz w:val="28"/>
                <w:szCs w:val="28"/>
                <w:lang w:val="es-ES"/>
              </w:rPr>
            </w:pPr>
            <w:r w:rsidRPr="00AC764B">
              <w:rPr>
                <w:b/>
                <w:sz w:val="28"/>
                <w:szCs w:val="28"/>
                <w:lang w:val="es-ES"/>
              </w:rPr>
              <w:t>Trần Thanh Mẫn</w:t>
            </w:r>
          </w:p>
        </w:tc>
      </w:tr>
    </w:tbl>
    <w:p w14:paraId="07C7004C" w14:textId="77777777" w:rsidR="00790410" w:rsidRPr="008D25C2" w:rsidRDefault="00790410" w:rsidP="00790410">
      <w:pPr>
        <w:jc w:val="right"/>
        <w:rPr>
          <w:rFonts w:ascii="Times New Roman" w:hAnsi="Times New Roman"/>
          <w:b/>
          <w:szCs w:val="26"/>
          <w:lang w:val="es-ES"/>
        </w:rPr>
      </w:pPr>
    </w:p>
    <w:p w14:paraId="786318F5" w14:textId="77777777" w:rsidR="00790410" w:rsidRPr="008D25C2" w:rsidRDefault="00790410" w:rsidP="00790410">
      <w:pPr>
        <w:jc w:val="right"/>
        <w:rPr>
          <w:rFonts w:ascii="Times New Roman" w:hAnsi="Times New Roman"/>
          <w:lang w:val="es-ES"/>
        </w:rPr>
      </w:pPr>
    </w:p>
    <w:p w14:paraId="0CC1556F" w14:textId="77777777" w:rsidR="00790410" w:rsidRDefault="00790410" w:rsidP="00790410"/>
    <w:p w14:paraId="122D29B7" w14:textId="77777777" w:rsidR="00E8552A" w:rsidRDefault="00E8552A"/>
    <w:sectPr w:rsidR="00E8552A" w:rsidSect="00790410">
      <w:headerReference w:type="even" r:id="rId6"/>
      <w:headerReference w:type="default" r:id="rId7"/>
      <w:footerReference w:type="even"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F20CA" w14:textId="77777777" w:rsidR="008B3A85" w:rsidRDefault="008B3A85">
      <w:r>
        <w:separator/>
      </w:r>
    </w:p>
  </w:endnote>
  <w:endnote w:type="continuationSeparator" w:id="0">
    <w:p w14:paraId="53A1139D" w14:textId="77777777" w:rsidR="008B3A85" w:rsidRDefault="008B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D2A1" w14:textId="77777777" w:rsidR="00A5193E" w:rsidRDefault="006B4885" w:rsidP="001B750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1532815" w14:textId="77777777" w:rsidR="00A5193E" w:rsidRDefault="00A5193E" w:rsidP="000D20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B3C0E" w14:textId="77777777" w:rsidR="008B3A85" w:rsidRDefault="008B3A85">
      <w:r>
        <w:separator/>
      </w:r>
    </w:p>
  </w:footnote>
  <w:footnote w:type="continuationSeparator" w:id="0">
    <w:p w14:paraId="7B37C46E" w14:textId="77777777" w:rsidR="008B3A85" w:rsidRDefault="008B3A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C90B" w14:textId="77777777" w:rsidR="00A5193E" w:rsidRDefault="006B4885" w:rsidP="004D7B3E">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0288057" w14:textId="77777777" w:rsidR="00A5193E" w:rsidRDefault="00A519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0576" w14:textId="3EABBC4F" w:rsidR="00A5193E" w:rsidRPr="0005663E" w:rsidRDefault="006B4885">
    <w:pPr>
      <w:pStyle w:val="Header"/>
      <w:jc w:val="center"/>
      <w:rPr>
        <w:rFonts w:ascii="Times New Roman" w:hAnsi="Times New Roman"/>
      </w:rPr>
    </w:pPr>
    <w:r w:rsidRPr="0005663E">
      <w:rPr>
        <w:rFonts w:ascii="Times New Roman" w:hAnsi="Times New Roman"/>
      </w:rPr>
      <w:fldChar w:fldCharType="begin"/>
    </w:r>
    <w:r w:rsidRPr="0005663E">
      <w:rPr>
        <w:rFonts w:ascii="Times New Roman" w:hAnsi="Times New Roman"/>
      </w:rPr>
      <w:instrText xml:space="preserve"> PAGE   \* MERGEFORMAT </w:instrText>
    </w:r>
    <w:r w:rsidRPr="0005663E">
      <w:rPr>
        <w:rFonts w:ascii="Times New Roman" w:hAnsi="Times New Roman"/>
      </w:rPr>
      <w:fldChar w:fldCharType="separate"/>
    </w:r>
    <w:r w:rsidR="00177E33">
      <w:rPr>
        <w:rFonts w:ascii="Times New Roman" w:hAnsi="Times New Roman"/>
        <w:noProof/>
      </w:rPr>
      <w:t>2</w:t>
    </w:r>
    <w:r w:rsidRPr="0005663E">
      <w:rPr>
        <w:rFonts w:ascii="Times New Roman" w:hAnsi="Times New Roman"/>
        <w:noProof/>
      </w:rPr>
      <w:fldChar w:fldCharType="end"/>
    </w:r>
  </w:p>
  <w:p w14:paraId="7D3E37AF" w14:textId="77777777" w:rsidR="00A5193E" w:rsidRDefault="00A51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10"/>
    <w:rsid w:val="00081FD9"/>
    <w:rsid w:val="0012571B"/>
    <w:rsid w:val="00174BD3"/>
    <w:rsid w:val="00177E33"/>
    <w:rsid w:val="002740D0"/>
    <w:rsid w:val="00387754"/>
    <w:rsid w:val="0044374F"/>
    <w:rsid w:val="004454C2"/>
    <w:rsid w:val="004D1252"/>
    <w:rsid w:val="005779B9"/>
    <w:rsid w:val="005B2C8B"/>
    <w:rsid w:val="006407ED"/>
    <w:rsid w:val="006A3F96"/>
    <w:rsid w:val="006B4885"/>
    <w:rsid w:val="00742844"/>
    <w:rsid w:val="00790410"/>
    <w:rsid w:val="007C0CA7"/>
    <w:rsid w:val="008641A3"/>
    <w:rsid w:val="008B3A85"/>
    <w:rsid w:val="008B44AA"/>
    <w:rsid w:val="009B6551"/>
    <w:rsid w:val="009B6755"/>
    <w:rsid w:val="00A0275F"/>
    <w:rsid w:val="00A5193E"/>
    <w:rsid w:val="00B46E33"/>
    <w:rsid w:val="00BC04DA"/>
    <w:rsid w:val="00E8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1CA8"/>
  <w15:chartTrackingRefBased/>
  <w15:docId w15:val="{8E51E4D4-9C08-48F0-B484-89BD9AC2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240" w:lineRule="exact"/>
        <w:ind w:left="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410"/>
    <w:pPr>
      <w:spacing w:before="0" w:line="240" w:lineRule="auto"/>
      <w:ind w:left="0"/>
    </w:pPr>
    <w:rPr>
      <w:rFonts w:ascii=".VnTime" w:eastAsia="Times New Roman" w:hAnsi=".VnTime" w:cs="Times New Roman"/>
      <w:kern w:val="0"/>
      <w:szCs w:val="28"/>
      <w14:ligatures w14:val="none"/>
    </w:rPr>
  </w:style>
  <w:style w:type="paragraph" w:styleId="Heading1">
    <w:name w:val="heading 1"/>
    <w:aliases w:val="DB"/>
    <w:basedOn w:val="Normal"/>
    <w:next w:val="Normal"/>
    <w:link w:val="Heading1Char"/>
    <w:qFormat/>
    <w:rsid w:val="00790410"/>
    <w:pPr>
      <w:keepNext/>
      <w:keepLines/>
      <w:spacing w:before="360" w:after="80" w:line="240" w:lineRule="exact"/>
      <w:ind w:left="56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0410"/>
    <w:pPr>
      <w:keepNext/>
      <w:keepLines/>
      <w:spacing w:before="160" w:after="80" w:line="240" w:lineRule="exact"/>
      <w:ind w:left="56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0410"/>
    <w:pPr>
      <w:keepNext/>
      <w:keepLines/>
      <w:spacing w:before="160" w:after="80" w:line="240" w:lineRule="exact"/>
      <w:ind w:left="567"/>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90410"/>
    <w:pPr>
      <w:keepNext/>
      <w:keepLines/>
      <w:spacing w:before="80" w:after="40" w:line="240" w:lineRule="exact"/>
      <w:ind w:left="567"/>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90410"/>
    <w:pPr>
      <w:keepNext/>
      <w:keepLines/>
      <w:spacing w:before="80" w:after="40" w:line="240" w:lineRule="exact"/>
      <w:ind w:left="567"/>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90410"/>
    <w:pPr>
      <w:keepNext/>
      <w:keepLines/>
      <w:spacing w:before="40" w:line="240" w:lineRule="exact"/>
      <w:ind w:left="567"/>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790410"/>
    <w:pPr>
      <w:keepNext/>
      <w:keepLines/>
      <w:spacing w:before="40" w:line="240" w:lineRule="exact"/>
      <w:ind w:left="567"/>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90410"/>
    <w:pPr>
      <w:keepNext/>
      <w:keepLines/>
      <w:spacing w:line="240" w:lineRule="exact"/>
      <w:ind w:left="567"/>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90410"/>
    <w:pPr>
      <w:keepNext/>
      <w:keepLines/>
      <w:spacing w:line="240" w:lineRule="exact"/>
      <w:ind w:left="567"/>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79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90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410"/>
    <w:pPr>
      <w:spacing w:after="80"/>
      <w:ind w:left="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10"/>
    <w:pPr>
      <w:numPr>
        <w:ilvl w:val="1"/>
      </w:numPr>
      <w:spacing w:before="120" w:after="160" w:line="240" w:lineRule="exact"/>
      <w:ind w:left="567"/>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904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0410"/>
    <w:pPr>
      <w:spacing w:before="160" w:after="160" w:line="240" w:lineRule="exact"/>
      <w:ind w:left="567"/>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90410"/>
    <w:rPr>
      <w:i/>
      <w:iCs/>
      <w:color w:val="404040" w:themeColor="text1" w:themeTint="BF"/>
    </w:rPr>
  </w:style>
  <w:style w:type="paragraph" w:styleId="ListParagraph">
    <w:name w:val="List Paragraph"/>
    <w:basedOn w:val="Normal"/>
    <w:uiPriority w:val="34"/>
    <w:qFormat/>
    <w:rsid w:val="00790410"/>
    <w:pPr>
      <w:spacing w:before="120" w:line="240" w:lineRule="exact"/>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790410"/>
    <w:rPr>
      <w:i/>
      <w:iCs/>
      <w:color w:val="2F5496" w:themeColor="accent1" w:themeShade="BF"/>
    </w:rPr>
  </w:style>
  <w:style w:type="paragraph" w:styleId="IntenseQuote">
    <w:name w:val="Intense Quote"/>
    <w:basedOn w:val="Normal"/>
    <w:next w:val="Normal"/>
    <w:link w:val="IntenseQuoteChar"/>
    <w:uiPriority w:val="30"/>
    <w:qFormat/>
    <w:rsid w:val="00790410"/>
    <w:pPr>
      <w:pBdr>
        <w:top w:val="single" w:sz="4" w:space="10" w:color="2F5496" w:themeColor="accent1" w:themeShade="BF"/>
        <w:bottom w:val="single" w:sz="4" w:space="10" w:color="2F5496" w:themeColor="accent1" w:themeShade="BF"/>
      </w:pBdr>
      <w:spacing w:before="360" w:after="360" w:line="240" w:lineRule="exact"/>
      <w:ind w:left="864" w:right="864"/>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90410"/>
    <w:rPr>
      <w:i/>
      <w:iCs/>
      <w:color w:val="2F5496" w:themeColor="accent1" w:themeShade="BF"/>
    </w:rPr>
  </w:style>
  <w:style w:type="character" w:styleId="IntenseReference">
    <w:name w:val="Intense Reference"/>
    <w:basedOn w:val="DefaultParagraphFont"/>
    <w:uiPriority w:val="32"/>
    <w:qFormat/>
    <w:rsid w:val="00790410"/>
    <w:rPr>
      <w:b/>
      <w:bCs/>
      <w:smallCaps/>
      <w:color w:val="2F5496" w:themeColor="accent1" w:themeShade="BF"/>
      <w:spacing w:val="5"/>
    </w:rPr>
  </w:style>
  <w:style w:type="paragraph" w:styleId="Footer">
    <w:name w:val="footer"/>
    <w:basedOn w:val="Normal"/>
    <w:link w:val="FooterChar"/>
    <w:rsid w:val="00790410"/>
    <w:pPr>
      <w:tabs>
        <w:tab w:val="center" w:pos="4320"/>
        <w:tab w:val="right" w:pos="8640"/>
      </w:tabs>
    </w:pPr>
  </w:style>
  <w:style w:type="character" w:customStyle="1" w:styleId="FooterChar">
    <w:name w:val="Footer Char"/>
    <w:basedOn w:val="DefaultParagraphFont"/>
    <w:link w:val="Footer"/>
    <w:rsid w:val="00790410"/>
    <w:rPr>
      <w:rFonts w:ascii=".VnTime" w:eastAsia="Times New Roman" w:hAnsi=".VnTime" w:cs="Times New Roman"/>
      <w:kern w:val="0"/>
      <w:szCs w:val="28"/>
      <w14:ligatures w14:val="none"/>
    </w:rPr>
  </w:style>
  <w:style w:type="character" w:styleId="PageNumber">
    <w:name w:val="page number"/>
    <w:basedOn w:val="DefaultParagraphFont"/>
    <w:rsid w:val="00790410"/>
  </w:style>
  <w:style w:type="paragraph" w:styleId="Header">
    <w:name w:val="header"/>
    <w:basedOn w:val="Normal"/>
    <w:link w:val="HeaderChar"/>
    <w:uiPriority w:val="99"/>
    <w:rsid w:val="00790410"/>
    <w:pPr>
      <w:tabs>
        <w:tab w:val="center" w:pos="4320"/>
        <w:tab w:val="right" w:pos="8640"/>
      </w:tabs>
    </w:pPr>
  </w:style>
  <w:style w:type="character" w:customStyle="1" w:styleId="HeaderChar">
    <w:name w:val="Header Char"/>
    <w:basedOn w:val="DefaultParagraphFont"/>
    <w:link w:val="Header"/>
    <w:uiPriority w:val="99"/>
    <w:rsid w:val="00790410"/>
    <w:rPr>
      <w:rFonts w:ascii=".VnTime" w:eastAsia="Times New Roman" w:hAnsi=".VnTime" w:cs="Times New Roman"/>
      <w:kern w:val="0"/>
      <w:szCs w:val="28"/>
      <w14:ligatures w14:val="none"/>
    </w:rPr>
  </w:style>
  <w:style w:type="character" w:customStyle="1" w:styleId="BodyTextIndentChar">
    <w:name w:val="Body Text Indent Char"/>
    <w:link w:val="BodyTextIndent"/>
    <w:locked/>
    <w:rsid w:val="00790410"/>
    <w:rPr>
      <w:sz w:val="24"/>
      <w:szCs w:val="24"/>
    </w:rPr>
  </w:style>
  <w:style w:type="paragraph" w:styleId="BodyTextIndent">
    <w:name w:val="Body Text Indent"/>
    <w:basedOn w:val="Normal"/>
    <w:link w:val="BodyTextIndentChar"/>
    <w:rsid w:val="00790410"/>
    <w:pPr>
      <w:spacing w:after="120"/>
      <w:ind w:left="360"/>
    </w:pPr>
    <w:rPr>
      <w:rFonts w:ascii="Times New Roman" w:eastAsiaTheme="minorHAnsi" w:hAnsi="Times New Roman" w:cstheme="minorBidi"/>
      <w:kern w:val="2"/>
      <w:sz w:val="24"/>
      <w:szCs w:val="24"/>
      <w14:ligatures w14:val="standardContextual"/>
    </w:rPr>
  </w:style>
  <w:style w:type="character" w:customStyle="1" w:styleId="BodyTextIndentChar1">
    <w:name w:val="Body Text Indent Char1"/>
    <w:basedOn w:val="DefaultParagraphFont"/>
    <w:uiPriority w:val="99"/>
    <w:semiHidden/>
    <w:rsid w:val="00790410"/>
    <w:rPr>
      <w:rFonts w:ascii=".VnTime" w:eastAsia="Times New Roman" w:hAnsi=".VnTime" w:cs="Times New Roman"/>
      <w:kern w:val="0"/>
      <w:szCs w:val="28"/>
      <w14:ligatures w14:val="none"/>
    </w:rPr>
  </w:style>
  <w:style w:type="character" w:customStyle="1" w:styleId="vn6">
    <w:name w:val="vn_6"/>
    <w:basedOn w:val="DefaultParagraphFont"/>
    <w:rsid w:val="0079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62071-278D-47D1-AAA6-E60C17488BB9}"/>
</file>

<file path=customXml/itemProps2.xml><?xml version="1.0" encoding="utf-8"?>
<ds:datastoreItem xmlns:ds="http://schemas.openxmlformats.org/officeDocument/2006/customXml" ds:itemID="{04E5B2CA-45C5-4C8C-A923-EC08156D4C58}"/>
</file>

<file path=customXml/itemProps3.xml><?xml version="1.0" encoding="utf-8"?>
<ds:datastoreItem xmlns:ds="http://schemas.openxmlformats.org/officeDocument/2006/customXml" ds:itemID="{EFAC3004-82AF-42A7-B7F0-D555BA8294FA}"/>
</file>

<file path=docProps/app.xml><?xml version="1.0" encoding="utf-8"?>
<Properties xmlns="http://schemas.openxmlformats.org/officeDocument/2006/extended-properties" xmlns:vt="http://schemas.openxmlformats.org/officeDocument/2006/docPropsVTypes">
  <Template>Normal</Template>
  <TotalTime>25</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Bich Phuong</cp:lastModifiedBy>
  <cp:revision>9</cp:revision>
  <dcterms:created xsi:type="dcterms:W3CDTF">2025-06-25T11:42:00Z</dcterms:created>
  <dcterms:modified xsi:type="dcterms:W3CDTF">2025-06-27T10:00:00Z</dcterms:modified>
</cp:coreProperties>
</file>